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BC" w:rsidRDefault="00137BBC">
      <w:pPr>
        <w:jc w:val="right"/>
        <w:rPr>
          <w:b/>
          <w:sz w:val="32"/>
          <w:szCs w:val="32"/>
        </w:rPr>
      </w:pPr>
    </w:p>
    <w:p w:rsidR="00137BBC" w:rsidRDefault="0046369E">
      <w:pPr>
        <w:tabs>
          <w:tab w:val="left" w:pos="394"/>
          <w:tab w:val="left" w:pos="435"/>
          <w:tab w:val="center" w:pos="4677"/>
          <w:tab w:val="center" w:pos="4819"/>
        </w:tabs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align>top</wp:align>
            </wp:positionV>
            <wp:extent cx="517525" cy="641350"/>
            <wp:effectExtent l="19050" t="0" r="0" b="0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335" cy="64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2"/>
          <w:szCs w:val="32"/>
        </w:rPr>
        <w:br w:type="textWrapping" w:clear="all"/>
      </w: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137BBC" w:rsidRDefault="00137BBC">
      <w:pPr>
        <w:tabs>
          <w:tab w:val="left" w:pos="1040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137BBC" w:rsidRDefault="00137BBC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137BBC" w:rsidRDefault="0046369E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07.11.2023</w:t>
      </w:r>
      <w:r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№  96-п</w:t>
      </w:r>
    </w:p>
    <w:p w:rsidR="00137BBC" w:rsidRDefault="00137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BC" w:rsidRDefault="0046369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Основные направления </w:t>
      </w:r>
      <w:proofErr w:type="gramStart"/>
      <w:r>
        <w:rPr>
          <w:rFonts w:ascii="Arial" w:hAnsi="Arial" w:cs="Arial"/>
          <w:b/>
          <w:sz w:val="32"/>
          <w:szCs w:val="32"/>
        </w:rPr>
        <w:t>бюджетной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</w:t>
      </w:r>
    </w:p>
    <w:p w:rsidR="00137BBC" w:rsidRDefault="0046369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налоговой политики</w:t>
      </w:r>
      <w:r>
        <w:rPr>
          <w:rFonts w:ascii="Arial" w:hAnsi="Arial" w:cs="Arial"/>
          <w:b/>
          <w:sz w:val="32"/>
          <w:szCs w:val="32"/>
        </w:rPr>
        <w:t xml:space="preserve"> на 2026 год и плановый период 2027-2028 годы</w:t>
      </w:r>
    </w:p>
    <w:p w:rsidR="00137BBC" w:rsidRDefault="00137BBC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Всоответствиис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Налоговым кодексом Российской Федерации, Бюджетным соответствии Кодексом Российской Федерации и  Положением о бюджетном процессе в муниципальном образовании  Алексеевский сельсовет,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решением  Совета депутатов  муниципального образования Алексеевский сельсовет от 25.03.2020 года № 125, руководствуясь ст. 27 Устава муниципального образования Алексеевский  сельсовет,  постановляет:</w:t>
      </w:r>
    </w:p>
    <w:p w:rsidR="00137BBC" w:rsidRDefault="0046369E">
      <w:pPr>
        <w:pStyle w:val="a9"/>
        <w:shd w:val="clear" w:color="auto" w:fill="F9F9FC"/>
        <w:tabs>
          <w:tab w:val="left" w:pos="3301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1.Утвердить </w:t>
      </w:r>
      <w:r>
        <w:rPr>
          <w:color w:val="333333"/>
          <w:sz w:val="28"/>
          <w:szCs w:val="28"/>
        </w:rPr>
        <w:t>основные направления бюджетной и налог</w:t>
      </w:r>
      <w:r>
        <w:rPr>
          <w:color w:val="333333"/>
          <w:sz w:val="28"/>
          <w:szCs w:val="28"/>
        </w:rPr>
        <w:t>овой политики на 2026 год и плановый период 2027-2028 годы согласно приложению.</w:t>
      </w:r>
    </w:p>
    <w:p w:rsidR="00137BBC" w:rsidRDefault="004636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>2. Постановление от 09.11.2022 № 63-п «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 считать утратившим силу.</w:t>
      </w:r>
    </w:p>
    <w:p w:rsidR="00137BBC" w:rsidRDefault="00137BBC">
      <w:pPr>
        <w:pStyle w:val="a9"/>
        <w:shd w:val="clear" w:color="auto" w:fill="F9F9FC"/>
        <w:tabs>
          <w:tab w:val="left" w:pos="3301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положение  вступает в силу со дня его обнародования.</w:t>
      </w:r>
    </w:p>
    <w:p w:rsidR="00137BBC" w:rsidRDefault="0046369E">
      <w:pPr>
        <w:tabs>
          <w:tab w:val="left" w:pos="330"/>
          <w:tab w:val="left" w:pos="57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328"/>
        <w:gridCol w:w="4340"/>
        <w:gridCol w:w="2640"/>
      </w:tblGrid>
      <w:tr w:rsidR="00137BBC">
        <w:trPr>
          <w:cantSplit/>
          <w:trHeight w:val="1748"/>
        </w:trPr>
        <w:tc>
          <w:tcPr>
            <w:tcW w:w="3328" w:type="dxa"/>
          </w:tcPr>
          <w:p w:rsidR="00137BBC" w:rsidRDefault="00137BBC">
            <w:pPr>
              <w:pStyle w:val="Normal"/>
              <w:spacing w:line="240" w:lineRule="exact"/>
              <w:ind w:firstLine="0"/>
              <w:rPr>
                <w:szCs w:val="28"/>
              </w:rPr>
            </w:pPr>
          </w:p>
          <w:p w:rsidR="00137BBC" w:rsidRDefault="00137BBC">
            <w:pPr>
              <w:pStyle w:val="Normal"/>
              <w:spacing w:line="240" w:lineRule="exact"/>
              <w:ind w:firstLine="0"/>
              <w:rPr>
                <w:szCs w:val="28"/>
              </w:rPr>
            </w:pPr>
          </w:p>
          <w:p w:rsidR="00137BBC" w:rsidRDefault="00137BBC">
            <w:pPr>
              <w:pStyle w:val="Normal"/>
              <w:spacing w:line="240" w:lineRule="exact"/>
              <w:ind w:firstLine="0"/>
              <w:rPr>
                <w:szCs w:val="28"/>
              </w:rPr>
            </w:pPr>
          </w:p>
          <w:p w:rsidR="00137BBC" w:rsidRDefault="00137BBC">
            <w:pPr>
              <w:pStyle w:val="Normal"/>
              <w:spacing w:line="240" w:lineRule="exact"/>
              <w:ind w:firstLine="0"/>
              <w:rPr>
                <w:szCs w:val="28"/>
              </w:rPr>
            </w:pPr>
          </w:p>
          <w:p w:rsidR="00137BBC" w:rsidRDefault="0046369E">
            <w:pPr>
              <w:pStyle w:val="Normal"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137BBC" w:rsidRDefault="00137BBC">
            <w:pPr>
              <w:keepNext/>
              <w:ind w:firstLine="708"/>
              <w:rPr>
                <w:sz w:val="28"/>
                <w:szCs w:val="28"/>
              </w:rPr>
            </w:pPr>
          </w:p>
          <w:p w:rsidR="00137BBC" w:rsidRDefault="004C0B81">
            <w:pPr>
              <w:pStyle w:val="a6"/>
              <w:rPr>
                <w:sz w:val="28"/>
                <w:szCs w:val="28"/>
              </w:rPr>
            </w:pPr>
            <w:r w:rsidRPr="004C0B81">
              <w:rPr>
                <w:b w:val="0"/>
                <w:bCs w:val="0"/>
                <w:noProof/>
              </w:rPr>
              <w:drawing>
                <wp:inline distT="0" distB="0" distL="0" distR="0" wp14:anchorId="7708048E" wp14:editId="09A3ACA8">
                  <wp:extent cx="1952625" cy="1428750"/>
                  <wp:effectExtent l="0" t="0" r="0" b="0"/>
                  <wp:docPr id="1" name="Рисунок 1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950" cy="1430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BBC" w:rsidRDefault="00137BB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137BBC" w:rsidRDefault="00137BBC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137BBC" w:rsidRDefault="00137BBC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137BBC" w:rsidRPr="004C0B81" w:rsidRDefault="004636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4C0B81">
              <w:rPr>
                <w:rFonts w:ascii="Times New Roman" w:hAnsi="Times New Roman" w:cs="Times New Roman"/>
                <w:sz w:val="28"/>
                <w:szCs w:val="28"/>
              </w:rPr>
              <w:t>С.А.Курочкин</w:t>
            </w:r>
            <w:bookmarkEnd w:id="0"/>
            <w:proofErr w:type="spellEnd"/>
          </w:p>
        </w:tc>
      </w:tr>
    </w:tbl>
    <w:p w:rsidR="00137BBC" w:rsidRDefault="00137BBC">
      <w:pPr>
        <w:tabs>
          <w:tab w:val="left" w:pos="330"/>
          <w:tab w:val="left" w:pos="57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Default="00137B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Default="00137B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Default="0013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BBC" w:rsidRDefault="004636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Приложение  к постановлению</w:t>
      </w:r>
    </w:p>
    <w:p w:rsidR="00137BBC" w:rsidRDefault="004636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137BBC" w:rsidRDefault="004636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муниципального образования</w:t>
      </w:r>
    </w:p>
    <w:p w:rsidR="00137BBC" w:rsidRDefault="004636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Алексеевский  сельсовет </w:t>
      </w:r>
    </w:p>
    <w:p w:rsidR="00137BBC" w:rsidRDefault="004636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  07.11 2023г. № 96-п</w:t>
      </w:r>
    </w:p>
    <w:p w:rsidR="00137BBC" w:rsidRDefault="00137B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7BBC" w:rsidRDefault="00463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на 2026 год и плановый период 2027-2028 годы 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и </w:t>
      </w:r>
      <w:r>
        <w:rPr>
          <w:rFonts w:ascii="Times New Roman" w:hAnsi="Times New Roman" w:cs="Times New Roman"/>
          <w:sz w:val="28"/>
          <w:szCs w:val="28"/>
        </w:rPr>
        <w:t>бюджетной политики 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– основные направления налоговой и бюджетной политики) разработаны с учетом целей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стратегией развития до 2026 года и на период до 2030 года, бюджетным прогнозом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долгосрочный период до 2030 </w:t>
      </w:r>
      <w:r>
        <w:rPr>
          <w:rFonts w:ascii="Times New Roman" w:hAnsi="Times New Roman" w:cs="Times New Roman"/>
          <w:sz w:val="28"/>
          <w:szCs w:val="28"/>
        </w:rPr>
        <w:t>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основных направлений политики является определение условий, принимаемых для составления проекта местного бюджета на 2024 год и на плановый период 2025 и 2026 годов, подходов к его формированию и общего порядка разработки основных характеристик </w:t>
      </w:r>
      <w:r>
        <w:rPr>
          <w:rFonts w:ascii="Times New Roman" w:hAnsi="Times New Roman" w:cs="Times New Roman"/>
          <w:sz w:val="28"/>
          <w:szCs w:val="28"/>
        </w:rPr>
        <w:t>и прогнозирующих параметров бюджета  поселения.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Проводимая Администрацией Алексеевского сельсовета в 2023 году бюджетная политика была направлена на повышение уровня жизни населения, а также способствовала укреплению макроэкономической стабильности</w:t>
      </w:r>
      <w:r>
        <w:rPr>
          <w:rFonts w:ascii="Times New Roman" w:hAnsi="Times New Roman" w:cs="Times New Roman"/>
          <w:sz w:val="28"/>
          <w:szCs w:val="28"/>
        </w:rPr>
        <w:t xml:space="preserve">. Алексеевским сельсоветом проводилась работа по реализации Программы Правительства РФ по повышению эффективности бюджетных расходов. Так   была проведена работа по выявлению недобросовестных владельцев  имущества, по регистрации неоформленного имущества, </w:t>
      </w:r>
      <w:r>
        <w:rPr>
          <w:rFonts w:ascii="Times New Roman" w:hAnsi="Times New Roman" w:cs="Times New Roman"/>
          <w:sz w:val="28"/>
          <w:szCs w:val="28"/>
        </w:rPr>
        <w:t>что в дальнейшем позволит увеличить доходную часть бюджета. Также проводится работа с неплательщиками земельного налога и налога на имущество.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политика будет направлена на безусловное соблюдение законодательства Российской Федерации. В основу нал</w:t>
      </w:r>
      <w:r>
        <w:rPr>
          <w:sz w:val="28"/>
          <w:szCs w:val="28"/>
        </w:rPr>
        <w:t xml:space="preserve">огообложения доходов физических лиц должен быть положен принцип совершенствования контроля за полнотой и своевременностью его уплаты, для практического </w:t>
      </w:r>
      <w:proofErr w:type="gramStart"/>
      <w:r>
        <w:rPr>
          <w:sz w:val="28"/>
          <w:szCs w:val="28"/>
        </w:rPr>
        <w:t>достижения</w:t>
      </w:r>
      <w:proofErr w:type="gramEnd"/>
      <w:r>
        <w:rPr>
          <w:sz w:val="28"/>
          <w:szCs w:val="28"/>
        </w:rPr>
        <w:t xml:space="preserve"> которого необходимо на постоянной основе осуществлять мониторинг динамики фонда заработной пл</w:t>
      </w:r>
      <w:r>
        <w:rPr>
          <w:sz w:val="28"/>
          <w:szCs w:val="28"/>
        </w:rPr>
        <w:t xml:space="preserve">аты, среднемесячной номинальной начисленной заработной платы как в целом по экономике в </w:t>
      </w:r>
      <w:proofErr w:type="spellStart"/>
      <w:r>
        <w:rPr>
          <w:sz w:val="28"/>
          <w:szCs w:val="28"/>
        </w:rPr>
        <w:t>Асекеевском</w:t>
      </w:r>
      <w:proofErr w:type="spellEnd"/>
      <w:r>
        <w:rPr>
          <w:sz w:val="28"/>
          <w:szCs w:val="28"/>
        </w:rPr>
        <w:t xml:space="preserve"> районе, так и в сельских поселениях, а также сумм налоговых вычетов.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Налогового кодекса Российской Федерации на территории Оренбург</w:t>
      </w:r>
      <w:r>
        <w:rPr>
          <w:sz w:val="28"/>
          <w:szCs w:val="28"/>
        </w:rPr>
        <w:t>ской области в соответствии с Законом Оренбургской области от 12 ноября 2015 года № 3457/971-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-03 установлена единая дата начала определения налоговой базы по налогу на имущество физических лиц исходя из кадастровой стоимости объектов налогообложения – 1 я</w:t>
      </w:r>
      <w:r>
        <w:rPr>
          <w:sz w:val="28"/>
          <w:szCs w:val="28"/>
        </w:rPr>
        <w:t xml:space="preserve">нваря 2024 года. В связи с этим до 01 декабря 2013 года представительным органам местного самоуправления муниципальных образований сельских поселений необходимо принять и опубликовать </w:t>
      </w:r>
      <w:r>
        <w:rPr>
          <w:sz w:val="28"/>
          <w:szCs w:val="28"/>
        </w:rPr>
        <w:lastRenderedPageBreak/>
        <w:t>решения об установлении соответствующих налоговых ставок. Наиважнейшей з</w:t>
      </w:r>
      <w:r>
        <w:rPr>
          <w:sz w:val="28"/>
          <w:szCs w:val="28"/>
        </w:rPr>
        <w:t>адачей является актуализация кадастровой стоимости объектов имущества. От качества этой работы этой работы зависит доходная часть бюджетов и реальная налоговая нагрузка на налогоплательщиков.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прогнозируемом периоде на территории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планируется поэтапное повышение ставки земельного налога до 0,3процентов в отношении земель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</w:t>
      </w:r>
      <w:r>
        <w:rPr>
          <w:sz w:val="28"/>
          <w:szCs w:val="28"/>
        </w:rPr>
        <w:t>водства. В настоящее время средняя ставка по поселениям составляет 0,109 процента.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  Особенностью бюджетной политики   станет дальнейшая реализация на территории Алексеевского сельсовета Федерального закона от 6 октября 2003 г. №131-ФЗ «Об общих принципа</w:t>
      </w:r>
      <w:r>
        <w:rPr>
          <w:rFonts w:ascii="Times New Roman" w:hAnsi="Times New Roman" w:cs="Times New Roman"/>
          <w:sz w:val="28"/>
          <w:szCs w:val="28"/>
        </w:rPr>
        <w:t>х организации местного самоуправления в Российской Федерации».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Вместе с тем, остается ряд нерешенных проблем, требующих особого внимания, к которым в первую очередь относятся: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недостаточность собственной налоговой базы поселения для исполнения им по</w:t>
      </w:r>
      <w:r>
        <w:rPr>
          <w:rFonts w:ascii="Times New Roman" w:hAnsi="Times New Roman" w:cs="Times New Roman"/>
          <w:sz w:val="28"/>
          <w:szCs w:val="28"/>
        </w:rPr>
        <w:t>лномочий по решению вопросов местного значения;</w:t>
      </w:r>
    </w:p>
    <w:p w:rsidR="00137BBC" w:rsidRDefault="0046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опережающий рост расходных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с реализацией реформы местного самоуправления.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бюджетной устойчивости особое значение имеет повышение эффективности мер урегулирования нало</w:t>
      </w:r>
      <w:r>
        <w:rPr>
          <w:sz w:val="28"/>
          <w:szCs w:val="28"/>
        </w:rPr>
        <w:t>говой и неналоговой задолженности и снижение рисков образования новой задолженности.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политика будет направлена на проведение целенаправленной и эффективной работы с администраторами доходов бюджета с целью пополнения доходами местного бюджета, вы</w:t>
      </w:r>
      <w:r>
        <w:rPr>
          <w:sz w:val="28"/>
          <w:szCs w:val="28"/>
        </w:rPr>
        <w:t xml:space="preserve">явления скрытых резервов, повышения уровня собираемости налогов, сокращения недоимки и усиления дисциплины плательщиков. Особое внимание необходимо уделять увеличению имеющегося доходного потенциала за счет повышения эффективности использования имущества, </w:t>
      </w:r>
      <w:r>
        <w:rPr>
          <w:sz w:val="28"/>
          <w:szCs w:val="28"/>
        </w:rPr>
        <w:t>в том числе земельного фонда, и снижения недоимки по налоговым и неналоговым поступлениям.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  бюджета будут в первоочередном порядке включены лишь расходы на финансирование действующих расходных обязательств, отраженные в реестре расходных обязатель</w:t>
      </w:r>
      <w:r>
        <w:rPr>
          <w:sz w:val="28"/>
          <w:szCs w:val="28"/>
        </w:rPr>
        <w:t>ств. Алексеевский  сельсовет вынужден в полном объеме отказаться от принятия новых расходных обязательств.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необходимо взвешенно подходить к участию в государственных программах, учитывать возможности районно</w:t>
      </w:r>
      <w:r>
        <w:rPr>
          <w:sz w:val="28"/>
          <w:szCs w:val="28"/>
        </w:rPr>
        <w:t xml:space="preserve">го бюджета по обеспечению объема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 бюджета будет вновь формироваться на основе скользящей трехлетки.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будет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четких приоритетов расходования бюджетных средств с учетом реализации меропри</w:t>
      </w:r>
      <w:r>
        <w:rPr>
          <w:sz w:val="28"/>
          <w:szCs w:val="28"/>
        </w:rPr>
        <w:t>ятий, нацеленных на структурные изменения в отраслях социальной сферы;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конкуренции для муниципальных организаций, предоставляющих социальные услуги и, как, следствие, повышение их качества, доступности и результативности;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достижение показателе</w:t>
      </w:r>
      <w:r>
        <w:rPr>
          <w:sz w:val="28"/>
          <w:szCs w:val="28"/>
        </w:rPr>
        <w:t>й муниципальных заданий на оказание услуг (выполнение работ), установленных в муниципальных программах;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расчета норматива затрат на оказание услуг (выполнение работ) исходя из подходов, выработанных финансовым отделом;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</w:t>
      </w:r>
      <w:r>
        <w:rPr>
          <w:sz w:val="28"/>
          <w:szCs w:val="28"/>
        </w:rPr>
        <w:t xml:space="preserve">основные усилия будут направлены на развитие учреждений культуры, сохранение культурного наследия, развитие творческого потенциала населений района, создание условий для улучшения доступа населения к культурным ценностям путем 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бюджетного планир</w:t>
      </w:r>
      <w:r>
        <w:rPr>
          <w:sz w:val="28"/>
          <w:szCs w:val="28"/>
        </w:rPr>
        <w:t>ования на реализацию муниципальных программ в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планируется решение следующих задач: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случаев разработки и принятия узконаправленных программ и усиление взаимодействия ответственных исполнителей, соисполнителей и участников муни</w:t>
      </w:r>
      <w:r>
        <w:rPr>
          <w:sz w:val="28"/>
          <w:szCs w:val="28"/>
        </w:rPr>
        <w:t>ципальных программ;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ассигнований на реализацию муниципальных программ, исходя из ожидаемых результатов реализации муниципальных программ;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показателей (индикаторов) муниципальных программ в целях исключения формальных показ</w:t>
      </w:r>
      <w:r>
        <w:rPr>
          <w:sz w:val="28"/>
          <w:szCs w:val="28"/>
        </w:rPr>
        <w:t>ателей, не характеризующих выполнение основных мероприятий муниципальных программ;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будет направлена на совершенствование межбюджетных отношений. Начиная с 2020 года на уровень нашего местного бюджета передается дополнительный доходный ис</w:t>
      </w:r>
      <w:r>
        <w:rPr>
          <w:sz w:val="28"/>
          <w:szCs w:val="28"/>
        </w:rPr>
        <w:t>точник – минимальный налог, взимаемый в связи с применением упрощенной системой налогообложения по нормативу 100 процентов, для того чтобы повышалась финансовая устойчивость муниципального образования.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повышения эффективности бюджетных расходов </w:t>
      </w:r>
      <w:r>
        <w:rPr>
          <w:sz w:val="28"/>
          <w:szCs w:val="28"/>
        </w:rPr>
        <w:t>выходит на первый план.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бюджетных расходов необходимо: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активно использовать оценку эффективности бюджетных расходов уже на этапе планирования расходов;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вопрос об организации мониторинга бюджетной сети (количе</w:t>
      </w:r>
      <w:r>
        <w:rPr>
          <w:sz w:val="28"/>
          <w:szCs w:val="28"/>
        </w:rPr>
        <w:t>ство учреждений, количество персонала, используемые фонды, объемы и качество предоставляемых муниципальных услуг в разрезе подведомственных учреждений);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оценку потребности в учреждениях с учетом необходимого уровня обеспеченности муниципальными </w:t>
      </w:r>
      <w:r>
        <w:rPr>
          <w:sz w:val="28"/>
          <w:szCs w:val="28"/>
        </w:rPr>
        <w:t>услугами;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переход ведения бухгалтерского учета централизованной бухгалтерии;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важнейших задач повышения эффективности бюджетных расходов является обеспечение широкого вовлечения граждан в процедуры обсуждения и принятия конкретных </w:t>
      </w:r>
      <w:r>
        <w:rPr>
          <w:sz w:val="28"/>
          <w:szCs w:val="28"/>
        </w:rPr>
        <w:t>бюджетных решений, общественного контроля их эффективности и результативности.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прозрачности и открытости муниципальных финансов, повышения доступности и понятности информации о местном бюджете будет продолжена практика публикации интерн</w:t>
      </w:r>
      <w:r>
        <w:rPr>
          <w:sz w:val="28"/>
          <w:szCs w:val="28"/>
        </w:rPr>
        <w:t>ет – брошюры «Бюджет для граждан».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Действенным инструментом вовлечения граждан в бюджетный процесс является имущественное бюджетирование, позволяющее решать вопросы местного значения путем финансирования из бюджета проектов, прошедших конкурсный отбор с уч</w:t>
      </w:r>
      <w:r>
        <w:rPr>
          <w:sz w:val="28"/>
          <w:szCs w:val="28"/>
        </w:rPr>
        <w:t>етом самих граждан.</w:t>
      </w:r>
    </w:p>
    <w:p w:rsidR="00137BBC" w:rsidRDefault="0046369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условиях экономии бюджетных средств одним из важных направлений бюджетной политики является бездефицитное планирование местного бюджета.  </w:t>
      </w:r>
    </w:p>
    <w:p w:rsidR="00137BBC" w:rsidRDefault="00137BB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37BBC" w:rsidRDefault="00137BBC" w:rsidP="004C0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7BB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9E" w:rsidRDefault="0046369E">
      <w:pPr>
        <w:spacing w:line="240" w:lineRule="auto"/>
      </w:pPr>
      <w:r>
        <w:separator/>
      </w:r>
    </w:p>
  </w:endnote>
  <w:endnote w:type="continuationSeparator" w:id="0">
    <w:p w:rsidR="0046369E" w:rsidRDefault="00463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9E" w:rsidRDefault="0046369E">
      <w:pPr>
        <w:spacing w:after="0"/>
      </w:pPr>
      <w:r>
        <w:separator/>
      </w:r>
    </w:p>
  </w:footnote>
  <w:footnote w:type="continuationSeparator" w:id="0">
    <w:p w:rsidR="0046369E" w:rsidRDefault="004636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DEB"/>
    <w:rsid w:val="000742C1"/>
    <w:rsid w:val="000C2229"/>
    <w:rsid w:val="000C4D56"/>
    <w:rsid w:val="00137BBC"/>
    <w:rsid w:val="0022576C"/>
    <w:rsid w:val="002A094C"/>
    <w:rsid w:val="002B535B"/>
    <w:rsid w:val="00391214"/>
    <w:rsid w:val="003B7442"/>
    <w:rsid w:val="003D2BC8"/>
    <w:rsid w:val="003D7A7B"/>
    <w:rsid w:val="003F4386"/>
    <w:rsid w:val="00407AF4"/>
    <w:rsid w:val="0046369E"/>
    <w:rsid w:val="004C0B81"/>
    <w:rsid w:val="00531994"/>
    <w:rsid w:val="005B7D97"/>
    <w:rsid w:val="0062396E"/>
    <w:rsid w:val="00690413"/>
    <w:rsid w:val="006F77A0"/>
    <w:rsid w:val="00726CA6"/>
    <w:rsid w:val="00751817"/>
    <w:rsid w:val="00857FF1"/>
    <w:rsid w:val="00860162"/>
    <w:rsid w:val="00871BB4"/>
    <w:rsid w:val="008C4793"/>
    <w:rsid w:val="00902653"/>
    <w:rsid w:val="009B0FE1"/>
    <w:rsid w:val="00A164F2"/>
    <w:rsid w:val="00A7648D"/>
    <w:rsid w:val="00BB7D35"/>
    <w:rsid w:val="00BD0B5C"/>
    <w:rsid w:val="00C343BC"/>
    <w:rsid w:val="00D32ED0"/>
    <w:rsid w:val="00E52DEB"/>
    <w:rsid w:val="00E702EB"/>
    <w:rsid w:val="00EA38ED"/>
    <w:rsid w:val="00EC73DB"/>
    <w:rsid w:val="00EF5B8D"/>
    <w:rsid w:val="00FC5ADA"/>
    <w:rsid w:val="213408D0"/>
    <w:rsid w:val="25E943B7"/>
    <w:rsid w:val="6BA8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caption"/>
    <w:basedOn w:val="a"/>
    <w:next w:val="a"/>
    <w:unhideWhenUsed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Normal">
    <w:name w:val="Текст.Normal"/>
    <w:pPr>
      <w:spacing w:line="360" w:lineRule="auto"/>
      <w:ind w:firstLine="567"/>
    </w:pPr>
    <w:rPr>
      <w:rFonts w:ascii="Times New Roman" w:eastAsia="Times New Roman" w:hAnsi="Times New Roman" w:cs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B09C-6842-4ABB-9366-D9E0A370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1473</Words>
  <Characters>8399</Characters>
  <Application>Microsoft Office Word</Application>
  <DocSecurity>0</DocSecurity>
  <Lines>69</Lines>
  <Paragraphs>19</Paragraphs>
  <ScaleCrop>false</ScaleCrop>
  <Company>Home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Алексеевский</cp:lastModifiedBy>
  <cp:revision>9</cp:revision>
  <cp:lastPrinted>2019-01-14T06:31:00Z</cp:lastPrinted>
  <dcterms:created xsi:type="dcterms:W3CDTF">2021-11-13T07:57:00Z</dcterms:created>
  <dcterms:modified xsi:type="dcterms:W3CDTF">2025-12-29T10:26:00Z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3A1D7338C4D54E6897D4AAA0F09A7FA4_12</vt:lpwstr>
  </property>
</Properties>
</file>